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2DF32" w14:textId="62381CA2" w:rsidR="009814BB" w:rsidRDefault="009008FA">
      <w:pPr>
        <w:rPr>
          <w:rFonts w:ascii="CIDFont+F3" w:hAnsi="CIDFont+F3" w:cs="CIDFont+F3"/>
          <w:sz w:val="20"/>
          <w:szCs w:val="20"/>
        </w:rPr>
      </w:pPr>
      <w:r>
        <w:rPr>
          <w:rFonts w:ascii="CIDFont+F3" w:hAnsi="CIDFont+F3" w:cs="CIDFont+F3"/>
          <w:sz w:val="20"/>
          <w:szCs w:val="20"/>
        </w:rPr>
        <w:t xml:space="preserve">Subject line: </w:t>
      </w:r>
      <w:r w:rsidR="00DC29CD" w:rsidRPr="00DC29CD">
        <w:rPr>
          <w:rFonts w:ascii="CIDFont+F3" w:hAnsi="CIDFont+F3" w:cs="CIDFont+F3"/>
          <w:sz w:val="20"/>
          <w:szCs w:val="20"/>
        </w:rPr>
        <w:t>Come get inspired!</w:t>
      </w:r>
    </w:p>
    <w:p w14:paraId="6FE2A21D" w14:textId="74E2E3D8" w:rsidR="00DC29CD" w:rsidRPr="000B67B0" w:rsidRDefault="00DC29CD" w:rsidP="00DC29CD">
      <w:pPr>
        <w:rPr>
          <w:rFonts w:ascii="CIDFont+F3" w:hAnsi="CIDFont+F3" w:cs="CIDFont+F3"/>
          <w:sz w:val="20"/>
          <w:szCs w:val="20"/>
        </w:rPr>
      </w:pPr>
      <w:r>
        <w:rPr>
          <w:rFonts w:ascii="CIDFont+F3" w:hAnsi="CIDFont+F3" w:cs="CIDFont+F3"/>
          <w:noProof/>
          <w:sz w:val="20"/>
          <w:szCs w:val="20"/>
        </w:rPr>
        <w:drawing>
          <wp:inline distT="0" distB="0" distL="0" distR="0" wp14:anchorId="3B424144" wp14:editId="413E042E">
            <wp:extent cx="5943600" cy="2228850"/>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MI-00303 Nicole Malachowski header.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228850"/>
                    </a:xfrm>
                    <a:prstGeom prst="rect">
                      <a:avLst/>
                    </a:prstGeom>
                  </pic:spPr>
                </pic:pic>
              </a:graphicData>
            </a:graphic>
          </wp:inline>
        </w:drawing>
      </w:r>
      <w:r>
        <w:t xml:space="preserve">Col. Nicole </w:t>
      </w:r>
      <w:proofErr w:type="spellStart"/>
      <w:r>
        <w:t>Malachowski</w:t>
      </w:r>
      <w:proofErr w:type="spellEnd"/>
      <w:r>
        <w:t>, USAF (Ret.), defies stereotypes. A combat</w:t>
      </w:r>
      <w:r>
        <w:rPr>
          <w:rFonts w:ascii="CIDFont+F3" w:hAnsi="CIDFont+F3" w:cs="CIDFont+F3"/>
          <w:sz w:val="20"/>
          <w:szCs w:val="20"/>
        </w:rPr>
        <w:t xml:space="preserve"> </w:t>
      </w:r>
      <w:r>
        <w:t>veteran, the first woman pilot on the Thunderbirds Air Demonstration</w:t>
      </w:r>
      <w:r>
        <w:rPr>
          <w:rFonts w:ascii="CIDFont+F3" w:hAnsi="CIDFont+F3" w:cs="CIDFont+F3"/>
          <w:sz w:val="20"/>
          <w:szCs w:val="20"/>
        </w:rPr>
        <w:t xml:space="preserve"> </w:t>
      </w:r>
      <w:r>
        <w:t>Squadron, a White House Fellow, and an inductee into both the National</w:t>
      </w:r>
      <w:r>
        <w:rPr>
          <w:rFonts w:ascii="CIDFont+F3" w:hAnsi="CIDFont+F3" w:cs="CIDFont+F3"/>
          <w:sz w:val="20"/>
          <w:szCs w:val="20"/>
        </w:rPr>
        <w:t xml:space="preserve"> </w:t>
      </w:r>
      <w:r>
        <w:t>Women’s Hall of Fame and the Women in Aviation International Pioneer</w:t>
      </w:r>
      <w:r>
        <w:rPr>
          <w:rFonts w:ascii="CIDFont+F3" w:hAnsi="CIDFont+F3" w:cs="CIDFont+F3"/>
          <w:sz w:val="20"/>
          <w:szCs w:val="20"/>
        </w:rPr>
        <w:t xml:space="preserve"> </w:t>
      </w:r>
      <w:r>
        <w:t>Hall of Fame, her distinguished 21-year Air Force career exceeded</w:t>
      </w:r>
      <w:r w:rsidR="000B67B0">
        <w:rPr>
          <w:rFonts w:ascii="CIDFont+F3" w:hAnsi="CIDFont+F3" w:cs="CIDFont+F3"/>
          <w:sz w:val="20"/>
          <w:szCs w:val="20"/>
        </w:rPr>
        <w:t xml:space="preserve"> </w:t>
      </w:r>
      <w:r>
        <w:t>her wildest dreams.</w:t>
      </w:r>
    </w:p>
    <w:p w14:paraId="02C9D20E" w14:textId="3DE69647" w:rsidR="000B67B0" w:rsidRDefault="00DC29CD" w:rsidP="00DC29CD">
      <w:r>
        <w:t>But the dream came to an end when a tick-borne illness left her struggling</w:t>
      </w:r>
      <w:r w:rsidR="000B67B0">
        <w:t xml:space="preserve"> </w:t>
      </w:r>
      <w:r>
        <w:t>to speak or walk for almost nine months. An indomitable spirit, Nicole</w:t>
      </w:r>
      <w:r w:rsidR="000B67B0">
        <w:t xml:space="preserve"> </w:t>
      </w:r>
      <w:r>
        <w:t>fought back against overwhelming odds and prevailed. Drawing on stories</w:t>
      </w:r>
      <w:r w:rsidR="000B67B0">
        <w:t xml:space="preserve"> </w:t>
      </w:r>
      <w:r>
        <w:t>from her career and personal life, Nicole will inspire you to rethink your</w:t>
      </w:r>
      <w:r w:rsidR="000B67B0">
        <w:t xml:space="preserve"> </w:t>
      </w:r>
      <w:r>
        <w:t>challenges and urge you to go beyond resilience and become resurgent.</w:t>
      </w:r>
      <w:r w:rsidR="000B67B0">
        <w:t xml:space="preserve"> </w:t>
      </w:r>
      <w:hyperlink r:id="rId5" w:history="1">
        <w:r w:rsidRPr="003C04FD">
          <w:rPr>
            <w:rStyle w:val="Hyperlink"/>
            <w:b/>
            <w:bCs/>
          </w:rPr>
          <w:t>Join us for this free event</w:t>
        </w:r>
      </w:hyperlink>
      <w:r w:rsidRPr="003C04FD">
        <w:rPr>
          <w:b/>
          <w:bCs/>
        </w:rPr>
        <w:t>!</w:t>
      </w:r>
    </w:p>
    <w:p w14:paraId="1BC8D812" w14:textId="15421F6F" w:rsidR="00295B2F" w:rsidRDefault="000B67B0" w:rsidP="00DC29CD">
      <w:r>
        <w:rPr>
          <w:noProof/>
        </w:rPr>
        <w:drawing>
          <wp:inline distT="0" distB="0" distL="0" distR="0" wp14:anchorId="24BC9F3F" wp14:editId="0770CBCC">
            <wp:extent cx="5943600" cy="1485900"/>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MI-00303 Nicole Malachowski speaker.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177EA88C" w14:textId="4264E0E2" w:rsidR="009008FA" w:rsidRDefault="009008FA" w:rsidP="009008FA">
      <w:r>
        <w:rPr>
          <w:noProof/>
        </w:rPr>
        <w:drawing>
          <wp:inline distT="0" distB="0" distL="0" distR="0" wp14:anchorId="592B544D" wp14:editId="211B0F0F">
            <wp:extent cx="5943600" cy="14859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aker series CTA.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331413BF" w14:textId="315CA593" w:rsidR="009008FA" w:rsidRPr="006D69C6" w:rsidRDefault="003A0F9A" w:rsidP="006D69C6">
      <w:pPr>
        <w:ind w:left="2880" w:firstLine="720"/>
        <w:rPr>
          <w:rStyle w:val="Hyperlink"/>
          <w:b/>
          <w:bCs/>
          <w:sz w:val="32"/>
          <w:szCs w:val="32"/>
        </w:rPr>
      </w:pPr>
      <w:r w:rsidRPr="006D69C6">
        <w:rPr>
          <w:sz w:val="32"/>
          <w:szCs w:val="32"/>
        </w:rPr>
        <w:fldChar w:fldCharType="begin"/>
      </w:r>
      <w:r w:rsidRPr="006D69C6">
        <w:rPr>
          <w:sz w:val="32"/>
          <w:szCs w:val="32"/>
        </w:rPr>
        <w:instrText xml:space="preserve"> HYPERLINK "https://horacemann.zoom.us/webinar/register/WN_U50HE0vBTwS87In9kU8IUQ" </w:instrText>
      </w:r>
      <w:r w:rsidRPr="006D69C6">
        <w:rPr>
          <w:sz w:val="32"/>
          <w:szCs w:val="32"/>
        </w:rPr>
        <w:fldChar w:fldCharType="separate"/>
      </w:r>
      <w:r w:rsidR="000B67B0" w:rsidRPr="006D69C6">
        <w:rPr>
          <w:rStyle w:val="Hyperlink"/>
          <w:b/>
          <w:bCs/>
          <w:sz w:val="32"/>
          <w:szCs w:val="32"/>
        </w:rPr>
        <w:fldChar w:fldCharType="begin"/>
      </w:r>
      <w:r w:rsidR="000B67B0" w:rsidRPr="006D69C6">
        <w:rPr>
          <w:rStyle w:val="Hyperlink"/>
          <w:b/>
          <w:bCs/>
          <w:sz w:val="32"/>
          <w:szCs w:val="32"/>
        </w:rPr>
        <w:instrText xml:space="preserve"> HYPERLINK "https://horacemann.zoom.us/webinar/register/WN_QJT68LE2QSegas1KMt3Ivg" </w:instrText>
      </w:r>
      <w:r w:rsidR="000B67B0" w:rsidRPr="006D69C6">
        <w:rPr>
          <w:rStyle w:val="Hyperlink"/>
          <w:b/>
          <w:bCs/>
          <w:sz w:val="32"/>
          <w:szCs w:val="32"/>
        </w:rPr>
        <w:fldChar w:fldCharType="separate"/>
      </w:r>
      <w:r w:rsidR="009008FA" w:rsidRPr="006D69C6">
        <w:rPr>
          <w:rStyle w:val="Hyperlink"/>
          <w:b/>
          <w:bCs/>
          <w:sz w:val="32"/>
          <w:szCs w:val="32"/>
        </w:rPr>
        <w:t>Save your spot</w:t>
      </w:r>
    </w:p>
    <w:p w14:paraId="6A279A97" w14:textId="5C95E089" w:rsidR="009008FA" w:rsidRPr="006D69C6" w:rsidRDefault="000B67B0" w:rsidP="009008FA">
      <w:pPr>
        <w:rPr>
          <w:i/>
          <w:iCs/>
          <w:sz w:val="20"/>
          <w:szCs w:val="20"/>
        </w:rPr>
      </w:pPr>
      <w:r w:rsidRPr="006D69C6">
        <w:rPr>
          <w:rStyle w:val="Hyperlink"/>
          <w:b/>
          <w:bCs/>
          <w:sz w:val="32"/>
          <w:szCs w:val="32"/>
        </w:rPr>
        <w:fldChar w:fldCharType="end"/>
      </w:r>
      <w:r w:rsidR="003A0F9A" w:rsidRPr="006D69C6">
        <w:rPr>
          <w:sz w:val="32"/>
          <w:szCs w:val="32"/>
        </w:rPr>
        <w:fldChar w:fldCharType="end"/>
      </w:r>
      <w:r w:rsidR="009008FA" w:rsidRPr="006D69C6">
        <w:rPr>
          <w:i/>
          <w:iCs/>
          <w:sz w:val="20"/>
          <w:szCs w:val="20"/>
        </w:rPr>
        <w:t>The speakers are not affiliated with Horace Mann Educators Corporation. The views and opinions expressed are those of the speakers and do not necessarily reflect the position of Horace Mann Educators Corporation or its subsidiary companies. Horace Mann’s Privacy Policy can be found </w:t>
      </w:r>
      <w:hyperlink r:id="rId8" w:history="1">
        <w:r w:rsidR="009008FA" w:rsidRPr="006D69C6">
          <w:rPr>
            <w:rStyle w:val="Hyperlink"/>
            <w:b/>
            <w:bCs/>
            <w:i/>
            <w:iCs/>
            <w:sz w:val="20"/>
            <w:szCs w:val="20"/>
          </w:rPr>
          <w:t>here</w:t>
        </w:r>
      </w:hyperlink>
      <w:r w:rsidR="009008FA" w:rsidRPr="006D69C6">
        <w:rPr>
          <w:i/>
          <w:iCs/>
          <w:sz w:val="20"/>
          <w:szCs w:val="20"/>
        </w:rPr>
        <w:t>. For California residents, view </w:t>
      </w:r>
      <w:hyperlink r:id="rId9" w:history="1">
        <w:r w:rsidR="009008FA" w:rsidRPr="006D69C6">
          <w:rPr>
            <w:rStyle w:val="Hyperlink"/>
            <w:b/>
            <w:bCs/>
            <w:i/>
            <w:iCs/>
            <w:sz w:val="20"/>
            <w:szCs w:val="20"/>
          </w:rPr>
          <w:t>Horace Mann’s California Consumer Privacy Notice</w:t>
        </w:r>
      </w:hyperlink>
      <w:r w:rsidR="009008FA" w:rsidRPr="006D69C6">
        <w:rPr>
          <w:i/>
          <w:iCs/>
          <w:sz w:val="20"/>
          <w:szCs w:val="20"/>
        </w:rPr>
        <w:t>.</w:t>
      </w:r>
    </w:p>
    <w:p w14:paraId="7F4A67D0" w14:textId="03CE0A0D" w:rsidR="006D69C6" w:rsidRDefault="007B6041" w:rsidP="006D69C6">
      <w:pPr>
        <w:rPr>
          <w:i/>
          <w:iCs/>
          <w:sz w:val="18"/>
          <w:szCs w:val="18"/>
        </w:rPr>
      </w:pPr>
      <w:r>
        <w:rPr>
          <w:i/>
          <w:iCs/>
          <w:sz w:val="20"/>
          <w:szCs w:val="20"/>
        </w:rPr>
        <w:t>CLAS</w:t>
      </w:r>
      <w:r w:rsidR="006D69C6" w:rsidRPr="006D69C6">
        <w:rPr>
          <w:i/>
          <w:iCs/>
          <w:sz w:val="20"/>
          <w:szCs w:val="20"/>
        </w:rPr>
        <w:t xml:space="preserve"> has agreements with Horace Mann and affiliates (Horace Mann) where Horace Mann pays </w:t>
      </w:r>
      <w:r>
        <w:rPr>
          <w:i/>
          <w:iCs/>
          <w:sz w:val="20"/>
          <w:szCs w:val="20"/>
        </w:rPr>
        <w:t>CLAS</w:t>
      </w:r>
      <w:r w:rsidR="006D69C6" w:rsidRPr="006D69C6">
        <w:rPr>
          <w:i/>
          <w:iCs/>
          <w:sz w:val="20"/>
          <w:szCs w:val="20"/>
        </w:rPr>
        <w:t xml:space="preserve"> to provide various services that are aimed at familiarizing </w:t>
      </w:r>
      <w:r>
        <w:rPr>
          <w:i/>
          <w:iCs/>
          <w:sz w:val="20"/>
          <w:szCs w:val="20"/>
        </w:rPr>
        <w:t>CLAS</w:t>
      </w:r>
      <w:bookmarkStart w:id="0" w:name="_GoBack"/>
      <w:bookmarkEnd w:id="0"/>
      <w:r w:rsidR="006D69C6" w:rsidRPr="006D69C6">
        <w:rPr>
          <w:i/>
          <w:iCs/>
          <w:sz w:val="20"/>
          <w:szCs w:val="20"/>
        </w:rPr>
        <w:t xml:space="preserve"> members with the Horace Mann brand, products or services</w:t>
      </w:r>
      <w:r w:rsidR="006D69C6">
        <w:rPr>
          <w:i/>
          <w:iCs/>
          <w:sz w:val="18"/>
          <w:szCs w:val="18"/>
        </w:rPr>
        <w:t>.</w:t>
      </w:r>
    </w:p>
    <w:p w14:paraId="7CD3D742" w14:textId="65F609F7" w:rsidR="006D69C6" w:rsidRDefault="006D69C6" w:rsidP="009008FA">
      <w:pPr>
        <w:rPr>
          <w:i/>
          <w:iCs/>
        </w:rPr>
      </w:pPr>
    </w:p>
    <w:p w14:paraId="2AE946D6" w14:textId="77777777" w:rsidR="006D69C6" w:rsidRDefault="006D69C6" w:rsidP="009008FA">
      <w:pPr>
        <w:rPr>
          <w:i/>
          <w:iCs/>
        </w:rPr>
      </w:pPr>
    </w:p>
    <w:p w14:paraId="40BFA092" w14:textId="65D35069" w:rsidR="009008FA" w:rsidRDefault="009008FA" w:rsidP="009008FA">
      <w:r w:rsidRPr="009008FA">
        <w:t>EMI-0030</w:t>
      </w:r>
      <w:r w:rsidR="000B67B0">
        <w:t>3</w:t>
      </w:r>
      <w:r w:rsidRPr="009008FA">
        <w:t xml:space="preserve"> (Nov. 20)</w:t>
      </w:r>
    </w:p>
    <w:sectPr w:rsidR="009008FA" w:rsidSect="006D69C6">
      <w:pgSz w:w="12240" w:h="15840"/>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FA"/>
    <w:rsid w:val="000B67B0"/>
    <w:rsid w:val="000E1DDD"/>
    <w:rsid w:val="00136171"/>
    <w:rsid w:val="00295B2F"/>
    <w:rsid w:val="003A0F9A"/>
    <w:rsid w:val="003C04FD"/>
    <w:rsid w:val="006D69C6"/>
    <w:rsid w:val="007B6041"/>
    <w:rsid w:val="009008FA"/>
    <w:rsid w:val="00912966"/>
    <w:rsid w:val="009814BB"/>
    <w:rsid w:val="00C678AA"/>
    <w:rsid w:val="00DC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D110"/>
  <w15:chartTrackingRefBased/>
  <w15:docId w15:val="{1CD1D097-740A-4A91-AFD2-BF36A376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8FA"/>
    <w:rPr>
      <w:color w:val="0000FF" w:themeColor="hyperlink"/>
      <w:u w:val="single"/>
    </w:rPr>
  </w:style>
  <w:style w:type="character" w:styleId="UnresolvedMention">
    <w:name w:val="Unresolved Mention"/>
    <w:basedOn w:val="DefaultParagraphFont"/>
    <w:uiPriority w:val="99"/>
    <w:semiHidden/>
    <w:unhideWhenUsed/>
    <w:rsid w:val="009008FA"/>
    <w:rPr>
      <w:color w:val="605E5C"/>
      <w:shd w:val="clear" w:color="auto" w:fill="E1DFDD"/>
    </w:rPr>
  </w:style>
  <w:style w:type="character" w:styleId="FollowedHyperlink">
    <w:name w:val="FollowedHyperlink"/>
    <w:basedOn w:val="DefaultParagraphFont"/>
    <w:uiPriority w:val="99"/>
    <w:semiHidden/>
    <w:unhideWhenUsed/>
    <w:rsid w:val="003C04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72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cemann.com/privacy.aspx" TargetMode="Externa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hyperlink" Target="https://horacemann.zoom.us/webinar/register/WN_QJT68LE2QSegas1KMt3Ivg"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horacemann.com/privacy/cc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Katie</dc:creator>
  <cp:keywords/>
  <dc:description/>
  <cp:lastModifiedBy>Bertetto, Vickie</cp:lastModifiedBy>
  <cp:revision>2</cp:revision>
  <dcterms:created xsi:type="dcterms:W3CDTF">2020-12-11T13:42:00Z</dcterms:created>
  <dcterms:modified xsi:type="dcterms:W3CDTF">2020-12-11T13:42:00Z</dcterms:modified>
</cp:coreProperties>
</file>